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C1" w:rsidRDefault="00F253C1" w:rsidP="00F253C1">
      <w:pPr>
        <w:rPr>
          <w:b/>
          <w:bCs/>
        </w:rPr>
      </w:pPr>
      <w:r>
        <w:rPr>
          <w:b/>
          <w:bCs/>
        </w:rPr>
        <w:t xml:space="preserve">APPEL A CANDIDATURES DOCTORALES </w:t>
      </w:r>
    </w:p>
    <w:p w:rsidR="00F253C1" w:rsidRDefault="00F253C1" w:rsidP="00D36811">
      <w:pPr>
        <w:rPr>
          <w:b/>
          <w:bCs/>
        </w:rPr>
      </w:pPr>
    </w:p>
    <w:p w:rsidR="00D36811" w:rsidRPr="00D36811" w:rsidRDefault="00D36811" w:rsidP="00D36811">
      <w:pPr>
        <w:rPr>
          <w:b/>
          <w:bCs/>
        </w:rPr>
      </w:pPr>
      <w:r w:rsidRPr="00D36811">
        <w:rPr>
          <w:b/>
          <w:bCs/>
        </w:rPr>
        <w:t>Connaissance et approche du potentiel de réemploi des matériaux et composants de l’industrie du bâtiment du 20ème siècle</w:t>
      </w:r>
    </w:p>
    <w:p w:rsidR="00D36811" w:rsidRPr="00D36811" w:rsidRDefault="00D36811" w:rsidP="00D36811"/>
    <w:p w:rsidR="00D36811" w:rsidRPr="00D36811" w:rsidRDefault="00D36811" w:rsidP="00D36811">
      <w:r w:rsidRPr="00D36811">
        <w:t xml:space="preserve">Entreprise d’accueil : SCIC </w:t>
      </w:r>
      <w:proofErr w:type="spellStart"/>
      <w:r w:rsidRPr="00D36811">
        <w:t>Bellastock</w:t>
      </w:r>
      <w:proofErr w:type="spellEnd"/>
      <w:r w:rsidRPr="00D36811">
        <w:t xml:space="preserve"> </w:t>
      </w:r>
    </w:p>
    <w:p w:rsidR="00D36811" w:rsidRPr="00D36811" w:rsidRDefault="00D36811" w:rsidP="00D36811">
      <w:pPr>
        <w:rPr>
          <w:u w:val="single"/>
        </w:rPr>
      </w:pPr>
      <w:r w:rsidRPr="00D36811">
        <w:t xml:space="preserve">Référent : Hugo </w:t>
      </w:r>
      <w:proofErr w:type="spellStart"/>
      <w:r w:rsidRPr="00D36811">
        <w:t>Topalov</w:t>
      </w:r>
      <w:proofErr w:type="spellEnd"/>
      <w:r w:rsidRPr="00D36811">
        <w:t xml:space="preserve">. </w:t>
      </w:r>
      <w:hyperlink r:id="rId5">
        <w:r w:rsidRPr="00D36811">
          <w:rPr>
            <w:rStyle w:val="Lienhypertexte"/>
          </w:rPr>
          <w:t>hugo.topalov@bellastock.com</w:t>
        </w:r>
      </w:hyperlink>
    </w:p>
    <w:p w:rsidR="00D36811" w:rsidRPr="00D36811" w:rsidRDefault="00D36811" w:rsidP="00D36811">
      <w:r w:rsidRPr="00D36811">
        <w:t xml:space="preserve">Equipe d’accueil : </w:t>
      </w:r>
      <w:proofErr w:type="spellStart"/>
      <w:r w:rsidRPr="00D36811">
        <w:t>Ipraus</w:t>
      </w:r>
      <w:proofErr w:type="spellEnd"/>
      <w:r w:rsidRPr="00D36811">
        <w:t>/</w:t>
      </w:r>
      <w:proofErr w:type="spellStart"/>
      <w:r w:rsidRPr="00D36811">
        <w:t>AUSser</w:t>
      </w:r>
      <w:proofErr w:type="spellEnd"/>
      <w:r w:rsidRPr="00D36811">
        <w:t>, UMR CNRS 3329</w:t>
      </w:r>
      <w:r>
        <w:t xml:space="preserve"> </w:t>
      </w:r>
    </w:p>
    <w:p w:rsidR="00F711F6" w:rsidRPr="00F711F6" w:rsidRDefault="00F711F6" w:rsidP="00F711F6">
      <w:r>
        <w:rPr>
          <w:b/>
        </w:rPr>
        <w:t>C</w:t>
      </w:r>
      <w:r w:rsidRPr="00F711F6">
        <w:rPr>
          <w:b/>
        </w:rPr>
        <w:t>andidatures</w:t>
      </w:r>
      <w:r>
        <w:rPr>
          <w:b/>
        </w:rPr>
        <w:t xml:space="preserve"> à</w:t>
      </w:r>
      <w:r w:rsidRPr="00F711F6">
        <w:rPr>
          <w:b/>
        </w:rPr>
        <w:t xml:space="preserve"> </w:t>
      </w:r>
      <w:proofErr w:type="spellStart"/>
      <w:r>
        <w:rPr>
          <w:b/>
        </w:rPr>
        <w:t>adressers</w:t>
      </w:r>
      <w:proofErr w:type="spellEnd"/>
      <w:r>
        <w:rPr>
          <w:b/>
        </w:rPr>
        <w:t xml:space="preserve"> </w:t>
      </w:r>
      <w:r w:rsidRPr="00F711F6">
        <w:rPr>
          <w:b/>
        </w:rPr>
        <w:t>à</w:t>
      </w:r>
      <w:r w:rsidRPr="00F711F6">
        <w:t xml:space="preserve"> : </w:t>
      </w:r>
      <w:hyperlink r:id="rId6" w:history="1">
        <w:r w:rsidRPr="00F711F6">
          <w:rPr>
            <w:rStyle w:val="Lienhypertexte"/>
          </w:rPr>
          <w:t>andre.lortie@paris-belleville.archi.fr</w:t>
        </w:r>
      </w:hyperlink>
      <w:r w:rsidRPr="00F711F6">
        <w:t xml:space="preserve"> et </w:t>
      </w:r>
      <w:hyperlink r:id="rId7">
        <w:r w:rsidRPr="00F711F6">
          <w:rPr>
            <w:rStyle w:val="Lienhypertexte"/>
          </w:rPr>
          <w:t>hugo.topalov@bellastock.com</w:t>
        </w:r>
      </w:hyperlink>
    </w:p>
    <w:p w:rsidR="00D36811" w:rsidRDefault="00EE0337" w:rsidP="00D36811">
      <w:r>
        <w:t xml:space="preserve">Date limite de candidature : 24 juin 2024, 24h. </w:t>
      </w:r>
    </w:p>
    <w:p w:rsidR="00EE0337" w:rsidRPr="00D36811" w:rsidRDefault="00EE0337" w:rsidP="00D36811"/>
    <w:p w:rsidR="00D36811" w:rsidRPr="00D36811" w:rsidRDefault="00D36811" w:rsidP="00D36811">
      <w:pPr>
        <w:numPr>
          <w:ilvl w:val="0"/>
          <w:numId w:val="2"/>
        </w:numPr>
        <w:rPr>
          <w:b/>
          <w:bCs/>
          <w:lang w:val="en-US"/>
        </w:rPr>
      </w:pPr>
      <w:r w:rsidRPr="00D36811">
        <w:rPr>
          <w:b/>
          <w:bCs/>
          <w:lang w:val="en-US"/>
        </w:rPr>
        <w:t>Domaine &amp; discipline</w:t>
      </w:r>
    </w:p>
    <w:p w:rsidR="00D36811" w:rsidRPr="00BD6552" w:rsidRDefault="00BD6552" w:rsidP="00D36811">
      <w:pPr>
        <w:numPr>
          <w:ilvl w:val="0"/>
          <w:numId w:val="1"/>
        </w:numPr>
        <w:ind w:left="284" w:hanging="142"/>
      </w:pPr>
      <w:r w:rsidRPr="00BD6552">
        <w:t>Sciences humaines et sociales; architecture</w:t>
      </w:r>
      <w:r w:rsidR="00D36811" w:rsidRPr="00BD6552">
        <w:t xml:space="preserve"> </w:t>
      </w:r>
    </w:p>
    <w:p w:rsidR="00D36811" w:rsidRPr="00D36811" w:rsidRDefault="00BD6552" w:rsidP="00D36811">
      <w:pPr>
        <w:numPr>
          <w:ilvl w:val="0"/>
          <w:numId w:val="1"/>
        </w:numPr>
        <w:ind w:left="284" w:hanging="142"/>
      </w:pPr>
      <w:r>
        <w:t xml:space="preserve">Sciences pour l’ingénieur ; matériaux </w:t>
      </w:r>
    </w:p>
    <w:p w:rsidR="00D36811" w:rsidRPr="00D36811" w:rsidRDefault="00D36811" w:rsidP="00D36811"/>
    <w:p w:rsidR="00D36811" w:rsidRPr="00D36811" w:rsidRDefault="00D36811" w:rsidP="00D36811">
      <w:pPr>
        <w:numPr>
          <w:ilvl w:val="0"/>
          <w:numId w:val="2"/>
        </w:numPr>
        <w:rPr>
          <w:b/>
          <w:bCs/>
          <w:lang w:val="en-US"/>
        </w:rPr>
      </w:pPr>
      <w:proofErr w:type="spellStart"/>
      <w:r w:rsidRPr="00D36811">
        <w:rPr>
          <w:b/>
          <w:bCs/>
          <w:lang w:val="en-US"/>
        </w:rPr>
        <w:t>Lieux</w:t>
      </w:r>
      <w:proofErr w:type="spellEnd"/>
    </w:p>
    <w:p w:rsidR="00D36811" w:rsidRPr="00D36811" w:rsidRDefault="00D36811" w:rsidP="00D36811">
      <w:pPr>
        <w:ind w:left="284" w:hanging="142"/>
        <w:rPr>
          <w:lang w:val="en-US"/>
        </w:rPr>
      </w:pPr>
      <w:r>
        <w:rPr>
          <w:lang w:val="en-US"/>
        </w:rPr>
        <w:t xml:space="preserve">- </w:t>
      </w:r>
      <w:r w:rsidRPr="00D36811">
        <w:rPr>
          <w:lang w:val="en-US"/>
        </w:rPr>
        <w:t xml:space="preserve">Paris </w:t>
      </w:r>
    </w:p>
    <w:p w:rsidR="00D36811" w:rsidRPr="00D36811" w:rsidRDefault="00D36811" w:rsidP="00D36811">
      <w:pPr>
        <w:rPr>
          <w:lang w:val="en-US"/>
        </w:rPr>
      </w:pPr>
    </w:p>
    <w:p w:rsidR="00D36811" w:rsidRPr="00D36811" w:rsidRDefault="00D36811" w:rsidP="00D36811">
      <w:pPr>
        <w:numPr>
          <w:ilvl w:val="0"/>
          <w:numId w:val="2"/>
        </w:numPr>
        <w:rPr>
          <w:b/>
          <w:bCs/>
          <w:lang w:val="en-US"/>
        </w:rPr>
      </w:pPr>
      <w:r w:rsidRPr="00D36811">
        <w:rPr>
          <w:b/>
          <w:bCs/>
          <w:lang w:val="en-US"/>
        </w:rPr>
        <w:t xml:space="preserve">Type de </w:t>
      </w:r>
      <w:proofErr w:type="spellStart"/>
      <w:r w:rsidRPr="00D36811">
        <w:rPr>
          <w:b/>
          <w:bCs/>
          <w:lang w:val="en-US"/>
        </w:rPr>
        <w:t>contrat</w:t>
      </w:r>
      <w:proofErr w:type="spellEnd"/>
      <w:r w:rsidRPr="00D36811">
        <w:rPr>
          <w:b/>
          <w:bCs/>
          <w:lang w:val="en-US"/>
        </w:rPr>
        <w:t xml:space="preserve"> </w:t>
      </w:r>
    </w:p>
    <w:p w:rsidR="00D36811" w:rsidRPr="00D36811" w:rsidRDefault="00D36811" w:rsidP="00D36811">
      <w:pPr>
        <w:ind w:left="284" w:hanging="142"/>
        <w:rPr>
          <w:lang w:val="en-US"/>
        </w:rPr>
      </w:pPr>
      <w:r>
        <w:rPr>
          <w:lang w:val="en-US"/>
        </w:rPr>
        <w:t xml:space="preserve">- </w:t>
      </w:r>
      <w:r w:rsidRPr="00D36811">
        <w:rPr>
          <w:lang w:val="en-US"/>
        </w:rPr>
        <w:t xml:space="preserve">CIFRE, 36 </w:t>
      </w:r>
      <w:proofErr w:type="spellStart"/>
      <w:r w:rsidRPr="00D36811">
        <w:rPr>
          <w:lang w:val="en-US"/>
        </w:rPr>
        <w:t>mois</w:t>
      </w:r>
      <w:proofErr w:type="spellEnd"/>
      <w:r w:rsidRPr="00D36811">
        <w:rPr>
          <w:lang w:val="en-US"/>
        </w:rPr>
        <w:t xml:space="preserve"> </w:t>
      </w:r>
    </w:p>
    <w:p w:rsidR="00D36811" w:rsidRPr="00D36811" w:rsidRDefault="00D36811" w:rsidP="00D36811">
      <w:pPr>
        <w:rPr>
          <w:lang w:val="en-US"/>
        </w:rPr>
      </w:pPr>
    </w:p>
    <w:p w:rsidR="00D36811" w:rsidRPr="00D36811" w:rsidRDefault="00D36811" w:rsidP="00D36811">
      <w:pPr>
        <w:numPr>
          <w:ilvl w:val="0"/>
          <w:numId w:val="2"/>
        </w:numPr>
        <w:rPr>
          <w:b/>
          <w:bCs/>
          <w:lang w:val="en-US"/>
        </w:rPr>
      </w:pPr>
      <w:r w:rsidRPr="00D36811">
        <w:rPr>
          <w:b/>
          <w:bCs/>
          <w:lang w:val="en-US"/>
        </w:rPr>
        <w:t xml:space="preserve">Résumé du </w:t>
      </w:r>
      <w:proofErr w:type="spellStart"/>
      <w:r w:rsidRPr="00D36811">
        <w:rPr>
          <w:b/>
          <w:bCs/>
          <w:lang w:val="en-US"/>
        </w:rPr>
        <w:t>projet</w:t>
      </w:r>
      <w:proofErr w:type="spellEnd"/>
    </w:p>
    <w:p w:rsidR="00D36811" w:rsidRPr="00D36811" w:rsidRDefault="00D36811" w:rsidP="00D36811">
      <w:pPr>
        <w:rPr>
          <w:lang w:val="en-US"/>
        </w:rPr>
      </w:pPr>
    </w:p>
    <w:p w:rsidR="00D36811" w:rsidRPr="00D36811" w:rsidRDefault="00D36811" w:rsidP="00D36811">
      <w:pPr>
        <w:ind w:left="284" w:hanging="142"/>
        <w:rPr>
          <w:lang w:val="en-US"/>
        </w:rPr>
      </w:pPr>
      <w:r>
        <w:rPr>
          <w:lang w:val="en-US"/>
        </w:rPr>
        <w:t xml:space="preserve">- </w:t>
      </w:r>
      <w:proofErr w:type="spellStart"/>
      <w:r w:rsidRPr="00D36811">
        <w:rPr>
          <w:lang w:val="en-US"/>
        </w:rPr>
        <w:t>Objectifs</w:t>
      </w:r>
      <w:proofErr w:type="spellEnd"/>
      <w:r w:rsidRPr="00D36811">
        <w:rPr>
          <w:lang w:val="en-US"/>
        </w:rPr>
        <w:t xml:space="preserve"> </w:t>
      </w:r>
    </w:p>
    <w:p w:rsidR="00D36811" w:rsidRPr="00D36811" w:rsidRDefault="00D36811" w:rsidP="00D36811">
      <w:r w:rsidRPr="00D36811">
        <w:t xml:space="preserve">La maîtrise de la consommation de matière dans le secteur du bâtiment est un enjeu majeur face à l’épuisement des ressources. Le réemploi des matériaux et composants et la limitation des déchets peuvent y contribuer de manière significative. La société coopérative d’intérêt collectif (SCIC) </w:t>
      </w:r>
      <w:proofErr w:type="spellStart"/>
      <w:r w:rsidRPr="00D36811">
        <w:t>Bellastock</w:t>
      </w:r>
      <w:proofErr w:type="spellEnd"/>
      <w:r w:rsidRPr="00D36811">
        <w:t xml:space="preserve">, à travers ses pratiques, œuvre pour le développement d’une économie circulaire appliquée au secteur du BTP. Pour être efficace, celle-ci doit reposer sur une connaissance élargie des produits et des techniques de la fabrique du cadre bâti. </w:t>
      </w:r>
    </w:p>
    <w:p w:rsidR="00D36811" w:rsidRPr="00D36811" w:rsidRDefault="00D36811" w:rsidP="00D36811"/>
    <w:p w:rsidR="00D36811" w:rsidRPr="00D36811" w:rsidRDefault="00DC018C" w:rsidP="00D36811">
      <w:pPr>
        <w:rPr>
          <w:bCs/>
        </w:rPr>
      </w:pPr>
      <w:r>
        <w:rPr>
          <w:bCs/>
        </w:rPr>
        <w:t>La</w:t>
      </w:r>
      <w:r w:rsidR="00D36811" w:rsidRPr="00D36811">
        <w:rPr>
          <w:bCs/>
        </w:rPr>
        <w:t xml:space="preserve"> recherche </w:t>
      </w:r>
      <w:r>
        <w:rPr>
          <w:bCs/>
        </w:rPr>
        <w:t xml:space="preserve">dans laquelle s’inscrit le projet doctoral </w:t>
      </w:r>
      <w:r w:rsidR="00D36811" w:rsidRPr="00D36811">
        <w:rPr>
          <w:bCs/>
        </w:rPr>
        <w:t xml:space="preserve">vise à rassembler et analyser des informations historiques sur les matériaux constitutifs des bâtiments du 20ème siècle. L’objectif premier est de documenter et évaluer le potentiel de réemploi des matériaux présents dans les bâtiments les plus fréquemment démolis ou réhabilités aujourd’hui. Ce travail vise à faciliter la caractérisation du potentiel de réemploi d’un bâtiment au stade du diagnostic ressources, et stimuler le travail de conception des architectes pour réintégrer les matériaux dans de nouveaux projets. Plus largement, le travail mettra en lumière les valeurs architecturales, patrimoniales et techniques des matériaux pour un réemploi. Il visera à sensibiliser sur les possibilités de </w:t>
      </w:r>
      <w:r>
        <w:rPr>
          <w:bCs/>
        </w:rPr>
        <w:t xml:space="preserve">leur </w:t>
      </w:r>
      <w:r w:rsidR="00D36811" w:rsidRPr="00D36811">
        <w:rPr>
          <w:bCs/>
        </w:rPr>
        <w:t>conservation et contribuer à la construction d’une culture commune sur les matériaux constitutifs de notre environnement bâti</w:t>
      </w:r>
      <w:r w:rsidR="00B6704E">
        <w:rPr>
          <w:bCs/>
        </w:rPr>
        <w:t xml:space="preserve">. </w:t>
      </w:r>
    </w:p>
    <w:p w:rsidR="00D36811" w:rsidRDefault="00D36811" w:rsidP="00D36811"/>
    <w:p w:rsidR="00D36811" w:rsidRPr="00D36811" w:rsidRDefault="00D36811" w:rsidP="00D36811">
      <w:pPr>
        <w:ind w:left="284" w:hanging="142"/>
      </w:pPr>
      <w:r w:rsidRPr="00D36811">
        <w:t xml:space="preserve">- </w:t>
      </w:r>
      <w:r>
        <w:t xml:space="preserve">Contexte </w:t>
      </w:r>
    </w:p>
    <w:p w:rsidR="00D36811" w:rsidRPr="00D36811" w:rsidRDefault="00D36811" w:rsidP="00D36811">
      <w:r w:rsidRPr="00D36811">
        <w:t xml:space="preserve">La première étape pour évaluer le potentiel de réemploi des matériaux avant une démolition ou une rénovation est la réalisation d’un diagnostic ressources. Ce dernier consiste principalement à récolter des données en combinant visite du bâtiment </w:t>
      </w:r>
      <w:r w:rsidR="00B6704E">
        <w:t xml:space="preserve">et </w:t>
      </w:r>
      <w:r w:rsidRPr="00D36811">
        <w:t xml:space="preserve">étude </w:t>
      </w:r>
      <w:r w:rsidR="00B6704E">
        <w:t>documen</w:t>
      </w:r>
      <w:r w:rsidRPr="00D36811">
        <w:t>t</w:t>
      </w:r>
      <w:r w:rsidR="00B6704E">
        <w:t>aire</w:t>
      </w:r>
      <w:r w:rsidRPr="00D36811">
        <w:t>.</w:t>
      </w:r>
      <w:r w:rsidR="00B6704E">
        <w:t xml:space="preserve"> </w:t>
      </w:r>
    </w:p>
    <w:p w:rsidR="00D36811" w:rsidRPr="00D36811" w:rsidRDefault="00D36811" w:rsidP="00D36811"/>
    <w:p w:rsidR="00D36811" w:rsidRPr="00D36811" w:rsidRDefault="00D36811" w:rsidP="00D36811">
      <w:r w:rsidRPr="00D36811">
        <w:t xml:space="preserve">Le manque de documentation sur les matériaux figure parmi les premières difficultés rencontrées </w:t>
      </w:r>
      <w:r w:rsidR="00B6704E">
        <w:t>lors de</w:t>
      </w:r>
      <w:r w:rsidRPr="00D36811">
        <w:t xml:space="preserve"> ces diagnostics. </w:t>
      </w:r>
      <w:r w:rsidR="00B6704E">
        <w:t>La</w:t>
      </w:r>
      <w:r w:rsidRPr="00D36811">
        <w:t xml:space="preserve"> documentation disponible </w:t>
      </w:r>
      <w:r w:rsidR="00B6704E">
        <w:t xml:space="preserve">ne </w:t>
      </w:r>
      <w:r w:rsidRPr="00D36811">
        <w:t xml:space="preserve">concerne </w:t>
      </w:r>
      <w:r w:rsidR="00B6704E">
        <w:t>souvent que</w:t>
      </w:r>
      <w:r w:rsidRPr="00D36811">
        <w:t xml:space="preserve"> les bâtiments (plans, diagnostics sanitaires, photos), et la visite ne suffit pas à compléter les informations disponibles. En conséquence, la recherche d’informations mobilise des ressources importantes, ce qui </w:t>
      </w:r>
      <w:r w:rsidR="00B6704E">
        <w:t xml:space="preserve">tend à </w:t>
      </w:r>
      <w:r w:rsidRPr="00D36811">
        <w:t>la rend</w:t>
      </w:r>
      <w:r w:rsidR="00B6704E">
        <w:t>re</w:t>
      </w:r>
      <w:r w:rsidRPr="00D36811">
        <w:t xml:space="preserve"> longue, laborieuse et </w:t>
      </w:r>
      <w:r w:rsidR="00B6704E">
        <w:t xml:space="preserve">coûteuse, voire dissuasive et </w:t>
      </w:r>
      <w:r w:rsidRPr="00D36811">
        <w:t>rarement réalisée.</w:t>
      </w:r>
    </w:p>
    <w:p w:rsidR="00D36811" w:rsidRPr="00D36811" w:rsidRDefault="00B6704E" w:rsidP="00D36811">
      <w:r>
        <w:lastRenderedPageBreak/>
        <w:t>L</w:t>
      </w:r>
      <w:r w:rsidR="00D36811" w:rsidRPr="00D36811">
        <w:t xml:space="preserve">’accès aux informations sur les matériaux en amont d’une déconstruction permettrait </w:t>
      </w:r>
      <w:r>
        <w:t xml:space="preserve">de mieux </w:t>
      </w:r>
      <w:r w:rsidR="00D36811" w:rsidRPr="00D36811">
        <w:t>évaluer le</w:t>
      </w:r>
      <w:r>
        <w:t>ur</w:t>
      </w:r>
      <w:r w:rsidR="00D36811" w:rsidRPr="00D36811">
        <w:t xml:space="preserve"> potentiel </w:t>
      </w:r>
      <w:r>
        <w:t>afin</w:t>
      </w:r>
      <w:r w:rsidR="00D36811" w:rsidRPr="00D36811">
        <w:t xml:space="preserve"> d’améliorer leur récupération en vue d</w:t>
      </w:r>
      <w:r>
        <w:t>’un éventuel</w:t>
      </w:r>
      <w:r w:rsidR="00D36811" w:rsidRPr="00D36811">
        <w:t xml:space="preserve"> réemploi. </w:t>
      </w:r>
      <w:r>
        <w:t>U</w:t>
      </w:r>
      <w:r w:rsidR="00D36811" w:rsidRPr="00D36811">
        <w:t xml:space="preserve">ne base documentaire accessible en open source et facile d’utilisation permettrait </w:t>
      </w:r>
      <w:r>
        <w:t>de faciliter</w:t>
      </w:r>
      <w:r w:rsidR="00D36811" w:rsidRPr="00D36811">
        <w:t xml:space="preserve"> les recherches documentaires lors d’un diagnostic ressources, </w:t>
      </w:r>
      <w:r w:rsidR="00F253C1">
        <w:t>voire</w:t>
      </w:r>
      <w:r w:rsidR="00D36811" w:rsidRPr="00D36811">
        <w:t xml:space="preserve"> d’éviter certains coûts d’essais en laboratoire.</w:t>
      </w:r>
      <w:r w:rsidR="00F253C1">
        <w:t xml:space="preserve"> </w:t>
      </w:r>
    </w:p>
    <w:p w:rsidR="00D36811" w:rsidRDefault="00D36811"/>
    <w:p w:rsidR="00D36811" w:rsidRPr="00D36811" w:rsidRDefault="00D36811" w:rsidP="00D36811">
      <w:pPr>
        <w:ind w:left="284" w:hanging="142"/>
      </w:pPr>
      <w:r w:rsidRPr="00D36811">
        <w:t xml:space="preserve">- </w:t>
      </w:r>
      <w:r>
        <w:t xml:space="preserve">Travail à faire </w:t>
      </w:r>
    </w:p>
    <w:p w:rsidR="00D36811" w:rsidRPr="00D36811" w:rsidRDefault="00DC018C" w:rsidP="00D36811">
      <w:r>
        <w:t>La</w:t>
      </w:r>
      <w:r w:rsidR="00D36811" w:rsidRPr="00D36811">
        <w:t xml:space="preserve"> recherche s’attachera à </w:t>
      </w:r>
      <w:r w:rsidR="00F253C1">
        <w:t>identifier, répertorier, analyser</w:t>
      </w:r>
      <w:r w:rsidR="00D36811" w:rsidRPr="00D36811">
        <w:t xml:space="preserve"> les archives historiques pertinente</w:t>
      </w:r>
      <w:r w:rsidR="00F253C1">
        <w:t>s,</w:t>
      </w:r>
      <w:r w:rsidR="00D36811" w:rsidRPr="00D36811">
        <w:t xml:space="preserve"> dans l’objectif de répondre à un ensemble de questions redondantes lors de la réalisation de diagnostic</w:t>
      </w:r>
      <w:r w:rsidR="00F253C1">
        <w:t>s</w:t>
      </w:r>
      <w:r w:rsidR="00D36811" w:rsidRPr="00D36811">
        <w:t xml:space="preserve"> ressources : comment ont été fabriqués les matériaux ? Quels sont leurs caractéristiques techniques d’origine ? Comment ces caractéristiques ont évolué dans le temps ? Les modes constructifs utilisés permettent-ils un démontage soigné permettant un réemploi ? Quels sont les nouveaux usages possibles pour les matériaux à la lecture des informations ? Enfin, comment les connaissances historiques sur les matériaux et leurs origines sont susceptibles de stimuler l’intérêt des concepteurs pour le réemploi ?</w:t>
      </w:r>
    </w:p>
    <w:p w:rsidR="00D36811" w:rsidRPr="00D36811" w:rsidRDefault="00D36811" w:rsidP="00D36811"/>
    <w:p w:rsidR="00D36811" w:rsidRPr="00D36811" w:rsidRDefault="00D36811" w:rsidP="00D36811">
      <w:r w:rsidRPr="00D36811">
        <w:t>Les archives étudiées concerneront les thématiques suivantes :</w:t>
      </w:r>
    </w:p>
    <w:p w:rsidR="00D36811" w:rsidRPr="00D36811" w:rsidRDefault="00D36811" w:rsidP="00D36811">
      <w:pPr>
        <w:numPr>
          <w:ilvl w:val="0"/>
          <w:numId w:val="3"/>
        </w:numPr>
      </w:pPr>
      <w:r w:rsidRPr="00D36811">
        <w:t>Histoire de la fabrication des matériaux et des procédés constructifs,</w:t>
      </w:r>
    </w:p>
    <w:p w:rsidR="00D36811" w:rsidRPr="00D36811" w:rsidRDefault="00D36811" w:rsidP="00D36811">
      <w:pPr>
        <w:numPr>
          <w:ilvl w:val="0"/>
          <w:numId w:val="3"/>
        </w:numPr>
      </w:pPr>
      <w:r w:rsidRPr="00D36811">
        <w:t>Histoire de l’architecture et de la construction,</w:t>
      </w:r>
    </w:p>
    <w:p w:rsidR="00D36811" w:rsidRPr="00D36811" w:rsidRDefault="00D36811" w:rsidP="00D36811">
      <w:pPr>
        <w:numPr>
          <w:ilvl w:val="0"/>
          <w:numId w:val="3"/>
        </w:numPr>
      </w:pPr>
      <w:r w:rsidRPr="00D36811">
        <w:t>Histoire de l’évolution des normes,</w:t>
      </w:r>
    </w:p>
    <w:p w:rsidR="00D36811" w:rsidRPr="00D36811" w:rsidRDefault="00D36811" w:rsidP="00D36811">
      <w:pPr>
        <w:numPr>
          <w:ilvl w:val="0"/>
          <w:numId w:val="3"/>
        </w:numPr>
      </w:pPr>
      <w:r w:rsidRPr="00D36811">
        <w:t>Histoire de l’utilisation des substances dangereuses,</w:t>
      </w:r>
    </w:p>
    <w:p w:rsidR="00D36811" w:rsidRPr="00D36811" w:rsidRDefault="00D36811" w:rsidP="00D36811">
      <w:pPr>
        <w:numPr>
          <w:ilvl w:val="0"/>
          <w:numId w:val="3"/>
        </w:numPr>
      </w:pPr>
      <w:r w:rsidRPr="00D36811">
        <w:t xml:space="preserve">Histoire des transformations subies par les bâtiments (usages, rénovation et entretien, exposition aux conditions extérieurs, vieillissement, </w:t>
      </w:r>
      <w:proofErr w:type="spellStart"/>
      <w:r w:rsidRPr="00D36811">
        <w:t>etc</w:t>
      </w:r>
      <w:proofErr w:type="spellEnd"/>
      <w:r w:rsidRPr="00D36811">
        <w:t>).</w:t>
      </w:r>
    </w:p>
    <w:p w:rsidR="00D36811" w:rsidRPr="00D36811" w:rsidRDefault="00D36811" w:rsidP="00D36811"/>
    <w:p w:rsidR="00D36811" w:rsidRPr="00D36811" w:rsidRDefault="00D36811" w:rsidP="00D36811">
      <w:r w:rsidRPr="00D36811">
        <w:t xml:space="preserve">Les informations issues de l’analyse des archives </w:t>
      </w:r>
      <w:r w:rsidR="00DC018C">
        <w:t xml:space="preserve">de fabricants, d’organisme de contrôle (ex. CSTB), de revues spécialisées, etc., </w:t>
      </w:r>
      <w:r w:rsidRPr="00D36811">
        <w:t xml:space="preserve">seront croisées avec une collection de diagnostics ressources réalisés </w:t>
      </w:r>
      <w:r w:rsidR="00DC018C">
        <w:t>sur</w:t>
      </w:r>
      <w:r w:rsidRPr="00D36811">
        <w:t xml:space="preserve"> les bâtiments les plus fréquemment </w:t>
      </w:r>
      <w:r w:rsidR="00DC018C">
        <w:t>déconstruits</w:t>
      </w:r>
      <w:r w:rsidRPr="00D36811">
        <w:t xml:space="preserve"> ou réhabilités aujourd’hui, ainsi qu’un ensemble de retours d’expérience</w:t>
      </w:r>
      <w:r w:rsidR="00DC018C">
        <w:t>s</w:t>
      </w:r>
      <w:r w:rsidRPr="00D36811">
        <w:t xml:space="preserve"> de </w:t>
      </w:r>
      <w:r w:rsidR="00DC018C">
        <w:t>chantier</w:t>
      </w:r>
      <w:r w:rsidRPr="00D36811">
        <w:t xml:space="preserve"> de déconstruction et de </w:t>
      </w:r>
      <w:r w:rsidR="00DC018C">
        <w:t xml:space="preserve">réemploi (dont celles de </w:t>
      </w:r>
      <w:proofErr w:type="spellStart"/>
      <w:r w:rsidR="00DC018C">
        <w:t>Bellastock</w:t>
      </w:r>
      <w:proofErr w:type="spellEnd"/>
      <w:r w:rsidR="00DC018C">
        <w:t xml:space="preserve">). </w:t>
      </w:r>
    </w:p>
    <w:p w:rsidR="00D36811" w:rsidRPr="00D36811" w:rsidRDefault="00D36811" w:rsidP="00D36811"/>
    <w:p w:rsidR="00D36811" w:rsidRPr="00D36811" w:rsidRDefault="00D36811" w:rsidP="00D36811">
      <w:r w:rsidRPr="00D36811">
        <w:t>Le travail sera alimenté par une série d’entretiens avec des chercheurs, des historiens, des fabricants de matériaux et des acteurs du réemploi.</w:t>
      </w:r>
    </w:p>
    <w:p w:rsidR="00F253C1" w:rsidRDefault="00F253C1"/>
    <w:p w:rsidR="00F253C1" w:rsidRPr="00D36811" w:rsidRDefault="00F253C1" w:rsidP="00F253C1">
      <w:pPr>
        <w:ind w:left="284" w:hanging="142"/>
      </w:pPr>
      <w:r w:rsidRPr="00D36811">
        <w:t xml:space="preserve">- </w:t>
      </w:r>
      <w:r>
        <w:t xml:space="preserve">Projet doctoral  </w:t>
      </w:r>
    </w:p>
    <w:p w:rsidR="00F253C1" w:rsidRDefault="00F253C1">
      <w:r>
        <w:t xml:space="preserve">Le projet de recherche dans lequel s’inscrit la recherche doctorale est financé par l’ADEM et programmé sur une durée de 24 mois. A la fin du programme, le/la </w:t>
      </w:r>
      <w:proofErr w:type="spellStart"/>
      <w:proofErr w:type="gramStart"/>
      <w:r>
        <w:t>doctorant.e</w:t>
      </w:r>
      <w:proofErr w:type="spellEnd"/>
      <w:proofErr w:type="gramEnd"/>
      <w:r>
        <w:t xml:space="preserve"> disposera d’une année pour rédiger la thèse, qui s’appuiera sur les </w:t>
      </w:r>
      <w:r w:rsidR="00044664">
        <w:t xml:space="preserve">résultats obtenus, mais pourra dépasser le cadre strict de la recherche achevée. </w:t>
      </w:r>
    </w:p>
    <w:p w:rsidR="00044664" w:rsidRDefault="00044664"/>
    <w:p w:rsidR="00044664" w:rsidRDefault="00044664">
      <w:pPr>
        <w:rPr>
          <w:b/>
        </w:rPr>
      </w:pPr>
      <w:r w:rsidRPr="00044664">
        <w:rPr>
          <w:b/>
        </w:rPr>
        <w:t>A cette phase de candidature, les candidat.es sont invité</w:t>
      </w:r>
      <w:r>
        <w:rPr>
          <w:b/>
        </w:rPr>
        <w:t>.e</w:t>
      </w:r>
      <w:r w:rsidRPr="00044664">
        <w:rPr>
          <w:b/>
        </w:rPr>
        <w:t xml:space="preserve">s à esquisser les pistes de réflexion envisagées pour le prolongement du travail initial. </w:t>
      </w:r>
    </w:p>
    <w:p w:rsidR="008445DA" w:rsidRDefault="008445DA">
      <w:pPr>
        <w:rPr>
          <w:b/>
        </w:rPr>
      </w:pPr>
    </w:p>
    <w:p w:rsidR="0042662E" w:rsidRPr="00D36811" w:rsidRDefault="0042662E" w:rsidP="00DC5666">
      <w:pPr>
        <w:numPr>
          <w:ilvl w:val="0"/>
          <w:numId w:val="2"/>
        </w:numPr>
        <w:rPr>
          <w:b/>
          <w:bCs/>
          <w:lang w:val="en-US"/>
        </w:rPr>
      </w:pPr>
      <w:proofErr w:type="spellStart"/>
      <w:r w:rsidRPr="0042662E">
        <w:rPr>
          <w:b/>
          <w:bCs/>
          <w:lang w:val="en-US"/>
        </w:rPr>
        <w:t>Profil</w:t>
      </w:r>
      <w:proofErr w:type="spellEnd"/>
      <w:r w:rsidRPr="0042662E">
        <w:rPr>
          <w:b/>
          <w:bCs/>
          <w:lang w:val="en-US"/>
        </w:rPr>
        <w:t xml:space="preserve"> recherché</w:t>
      </w:r>
    </w:p>
    <w:p w:rsidR="00F711F6" w:rsidRDefault="00F711F6"/>
    <w:p w:rsidR="00D152E5" w:rsidRDefault="00D152E5">
      <w:r>
        <w:t xml:space="preserve">La/le </w:t>
      </w:r>
      <w:proofErr w:type="spellStart"/>
      <w:proofErr w:type="gramStart"/>
      <w:r>
        <w:t>candidat.e</w:t>
      </w:r>
      <w:proofErr w:type="spellEnd"/>
      <w:proofErr w:type="gramEnd"/>
      <w:r>
        <w:t xml:space="preserve"> aura une connaissance du bâtiment et de ses composants et matériaux dans la période moderne (au 20</w:t>
      </w:r>
      <w:r w:rsidRPr="00D152E5">
        <w:rPr>
          <w:vertAlign w:val="superscript"/>
        </w:rPr>
        <w:t>e</w:t>
      </w:r>
      <w:r>
        <w:t xml:space="preserve"> siècle et plus particulièrement après la Seconde Guerre mondiale) en France. Il/elle aura à composer avec deux activités de recherche complémentaires : recherche en archives et en bibliothèques ; relevés analytiques de bâtiments et de chantiers de déconstruction. Il/elle sera </w:t>
      </w:r>
      <w:proofErr w:type="spellStart"/>
      <w:proofErr w:type="gramStart"/>
      <w:r>
        <w:t>intéressé.e</w:t>
      </w:r>
      <w:proofErr w:type="spellEnd"/>
      <w:proofErr w:type="gramEnd"/>
      <w:r>
        <w:t xml:space="preserve"> par les questions de recyclage et de réemploi. </w:t>
      </w:r>
    </w:p>
    <w:p w:rsidR="0042662E" w:rsidRDefault="0042662E"/>
    <w:p w:rsidR="000C2793" w:rsidRDefault="00D152E5">
      <w:r>
        <w:t xml:space="preserve">Pour mener ces missions, une formation en architecture serait appréciée, ou </w:t>
      </w:r>
      <w:r w:rsidR="0052673A">
        <w:t xml:space="preserve">en sciences pour l’ingénieur avec une spécialité matériaux. Une approche en design industriel des composants du bâtiment pourrait aussi convenir. </w:t>
      </w:r>
    </w:p>
    <w:p w:rsidR="000C2793" w:rsidRDefault="000C2793">
      <w:r>
        <w:br w:type="page"/>
      </w:r>
    </w:p>
    <w:p w:rsidR="000C2793" w:rsidRDefault="00DC5666" w:rsidP="007F6BAF">
      <w:pPr>
        <w:numPr>
          <w:ilvl w:val="0"/>
          <w:numId w:val="2"/>
        </w:numPr>
      </w:pPr>
      <w:proofErr w:type="spellStart"/>
      <w:r w:rsidRPr="00DC5666">
        <w:rPr>
          <w:b/>
          <w:bCs/>
          <w:lang w:val="en-US"/>
        </w:rPr>
        <w:lastRenderedPageBreak/>
        <w:t>Informations</w:t>
      </w:r>
      <w:proofErr w:type="spellEnd"/>
      <w:r w:rsidRPr="00DC5666">
        <w:rPr>
          <w:b/>
          <w:bCs/>
          <w:lang w:val="en-US"/>
        </w:rPr>
        <w:t xml:space="preserve"> </w:t>
      </w:r>
      <w:proofErr w:type="spellStart"/>
      <w:r w:rsidRPr="00DC5666">
        <w:rPr>
          <w:b/>
          <w:bCs/>
          <w:lang w:val="en-US"/>
        </w:rPr>
        <w:t>administratives</w:t>
      </w:r>
      <w:proofErr w:type="spellEnd"/>
      <w:r w:rsidRPr="00DC5666">
        <w:rPr>
          <w:b/>
          <w:bCs/>
          <w:lang w:val="en-US"/>
        </w:rPr>
        <w:t xml:space="preserve"> et </w:t>
      </w:r>
      <w:proofErr w:type="spellStart"/>
      <w:r w:rsidRPr="00DC5666">
        <w:rPr>
          <w:b/>
          <w:bCs/>
          <w:lang w:val="en-US"/>
        </w:rPr>
        <w:t>financières</w:t>
      </w:r>
      <w:proofErr w:type="spellEnd"/>
      <w:r w:rsidRPr="00DC5666">
        <w:rPr>
          <w:b/>
          <w:bCs/>
          <w:lang w:val="en-US"/>
        </w:rPr>
        <w:t xml:space="preserve"> </w:t>
      </w:r>
    </w:p>
    <w:p w:rsidR="000C2793" w:rsidRDefault="000C2793" w:rsidP="000C2793"/>
    <w:p w:rsidR="00DC5666" w:rsidRPr="00D36811" w:rsidRDefault="00DC5666" w:rsidP="00DC5666">
      <w:pPr>
        <w:ind w:left="284" w:hanging="142"/>
      </w:pPr>
      <w:r w:rsidRPr="00D36811">
        <w:t xml:space="preserve">- </w:t>
      </w:r>
      <w:r>
        <w:t>Equipe d’accueil</w:t>
      </w:r>
      <w:r>
        <w:t xml:space="preserve"> </w:t>
      </w:r>
    </w:p>
    <w:p w:rsidR="00DC5666" w:rsidRPr="00DC5666" w:rsidRDefault="00DC5666" w:rsidP="00DC5666">
      <w:r>
        <w:t>Institut parisien de recherche</w:t>
      </w:r>
      <w:r>
        <w:t> :</w:t>
      </w:r>
      <w:r>
        <w:t xml:space="preserve"> architecture, urbanistique, société (</w:t>
      </w:r>
      <w:proofErr w:type="spellStart"/>
      <w:r>
        <w:t>Ipraus</w:t>
      </w:r>
      <w:proofErr w:type="spellEnd"/>
      <w:r>
        <w:t>)</w:t>
      </w:r>
      <w:r>
        <w:t xml:space="preserve">. Equipe membre de l’UMR </w:t>
      </w:r>
      <w:r w:rsidR="0011797E">
        <w:t>C</w:t>
      </w:r>
      <w:r>
        <w:t xml:space="preserve">NRS </w:t>
      </w:r>
      <w:proofErr w:type="spellStart"/>
      <w:r>
        <w:t>AUSser</w:t>
      </w:r>
      <w:proofErr w:type="spellEnd"/>
      <w:r>
        <w:t xml:space="preserve">, n° 3329. </w:t>
      </w:r>
      <w:r w:rsidRPr="00DC5666">
        <w:t>http://umrausser.cnrs.fr</w:t>
      </w:r>
    </w:p>
    <w:p w:rsidR="00DC5666" w:rsidRDefault="00DC5666" w:rsidP="00DC5666"/>
    <w:p w:rsidR="000C2793" w:rsidRDefault="000C2793" w:rsidP="000C2793">
      <w:r>
        <w:t>É</w:t>
      </w:r>
      <w:r w:rsidR="0011797E">
        <w:t xml:space="preserve">cole nationale supérieure d’architecture de Paris-Belleville </w:t>
      </w:r>
      <w:bookmarkStart w:id="0" w:name="_GoBack"/>
      <w:bookmarkEnd w:id="0"/>
      <w:r w:rsidR="0011797E">
        <w:t>(ENSA PB)</w:t>
      </w:r>
      <w:r w:rsidR="00DC5666">
        <w:t>, PARIS</w:t>
      </w:r>
      <w:r>
        <w:t>, 75019</w:t>
      </w:r>
    </w:p>
    <w:p w:rsidR="000C2793" w:rsidRDefault="000C2793" w:rsidP="000C2793">
      <w:r>
        <w:t>https://www.paris-belleville.archi.fr/recherche/ipraus-ausser/histoire-de-la-recherche/</w:t>
      </w:r>
    </w:p>
    <w:p w:rsidR="000C2793" w:rsidRPr="000C2793" w:rsidRDefault="000C2793" w:rsidP="000C2793">
      <w:pPr>
        <w:rPr>
          <w:lang w:val="en-US"/>
        </w:rPr>
      </w:pPr>
    </w:p>
    <w:p w:rsidR="00DC5666" w:rsidRPr="00D36811" w:rsidRDefault="00DC5666" w:rsidP="00DC5666">
      <w:pPr>
        <w:ind w:left="284" w:hanging="142"/>
      </w:pPr>
      <w:r w:rsidRPr="00D36811">
        <w:t xml:space="preserve">- </w:t>
      </w:r>
      <w:r>
        <w:t xml:space="preserve">Etablissement </w:t>
      </w:r>
      <w:r>
        <w:t>d’</w:t>
      </w:r>
      <w:r>
        <w:t>inscription</w:t>
      </w:r>
      <w:r>
        <w:t xml:space="preserve"> </w:t>
      </w:r>
    </w:p>
    <w:p w:rsidR="00EF43F4" w:rsidRDefault="000C2793" w:rsidP="000C2793">
      <w:r>
        <w:t>Doctorat en architecture</w:t>
      </w:r>
      <w:r w:rsidR="00EF43F4">
        <w:t xml:space="preserve"> </w:t>
      </w:r>
    </w:p>
    <w:p w:rsidR="000C2793" w:rsidRDefault="00EF43F4" w:rsidP="000C2793">
      <w:r>
        <w:t>Université Gustave Eiffel, France</w:t>
      </w:r>
    </w:p>
    <w:p w:rsidR="000C2793" w:rsidRDefault="000C2793" w:rsidP="000C2793">
      <w:r>
        <w:t>Ecole doctorale</w:t>
      </w:r>
      <w:r w:rsidR="00EF43F4">
        <w:t xml:space="preserve"> </w:t>
      </w:r>
      <w:r>
        <w:t>Ville, transports et territoires (</w:t>
      </w:r>
      <w:r w:rsidR="00EF43F4">
        <w:t xml:space="preserve">ED </w:t>
      </w:r>
      <w:r>
        <w:t>VTT)</w:t>
      </w:r>
      <w:r w:rsidR="00EF43F4">
        <w:t xml:space="preserve">, n° 528 </w:t>
      </w:r>
    </w:p>
    <w:p w:rsidR="00EF43F4" w:rsidRDefault="00EF43F4" w:rsidP="000C2793"/>
    <w:p w:rsidR="00EF43F4" w:rsidRPr="00D36811" w:rsidRDefault="00EF43F4" w:rsidP="00EF43F4">
      <w:pPr>
        <w:ind w:left="284" w:hanging="142"/>
      </w:pPr>
      <w:r w:rsidRPr="00D36811">
        <w:t xml:space="preserve">- </w:t>
      </w:r>
      <w:r>
        <w:t xml:space="preserve">Rémunération </w:t>
      </w:r>
    </w:p>
    <w:p w:rsidR="00EF43F4" w:rsidRDefault="00EF43F4" w:rsidP="000C2793">
      <w:r>
        <w:t xml:space="preserve">La rémunération se situera dans une fourchette de : 25.000 € brut/an à 28.000 € brut/an </w:t>
      </w:r>
    </w:p>
    <w:p w:rsidR="000C2793" w:rsidRDefault="000C2793" w:rsidP="000C2793"/>
    <w:p w:rsidR="00EF43F4" w:rsidRPr="00D36811" w:rsidRDefault="00EF43F4" w:rsidP="00EF43F4">
      <w:pPr>
        <w:ind w:left="284" w:hanging="142"/>
      </w:pPr>
      <w:r w:rsidRPr="00D36811">
        <w:t xml:space="preserve">- </w:t>
      </w:r>
      <w:r>
        <w:t>Modalités de candidature</w:t>
      </w:r>
      <w:r>
        <w:t xml:space="preserve"> </w:t>
      </w:r>
    </w:p>
    <w:p w:rsidR="00EF43F4" w:rsidRDefault="000C2793" w:rsidP="000C2793">
      <w:r>
        <w:t xml:space="preserve">Les candidat.es fourniront </w:t>
      </w:r>
    </w:p>
    <w:p w:rsidR="00EF43F4" w:rsidRDefault="000C2793" w:rsidP="00EF43F4">
      <w:pPr>
        <w:pStyle w:val="Paragraphedeliste"/>
        <w:numPr>
          <w:ilvl w:val="0"/>
          <w:numId w:val="6"/>
        </w:numPr>
      </w:pPr>
      <w:proofErr w:type="gramStart"/>
      <w:r>
        <w:t>un</w:t>
      </w:r>
      <w:proofErr w:type="gramEnd"/>
      <w:r>
        <w:t xml:space="preserve"> CV</w:t>
      </w:r>
      <w:r w:rsidR="00EF43F4">
        <w:t> ;</w:t>
      </w:r>
      <w:r>
        <w:t xml:space="preserve"> </w:t>
      </w:r>
    </w:p>
    <w:p w:rsidR="00EF43F4" w:rsidRDefault="000C2793" w:rsidP="00EF43F4">
      <w:pPr>
        <w:pStyle w:val="Paragraphedeliste"/>
        <w:numPr>
          <w:ilvl w:val="0"/>
          <w:numId w:val="6"/>
        </w:numPr>
      </w:pPr>
      <w:proofErr w:type="gramStart"/>
      <w:r>
        <w:t>un</w:t>
      </w:r>
      <w:proofErr w:type="gramEnd"/>
      <w:r>
        <w:t xml:space="preserve"> résumé de mémoire de Master (ou équivalent) qui fait état de leur connaissanc</w:t>
      </w:r>
      <w:r w:rsidR="00EF43F4">
        <w:t xml:space="preserve">e du domaine de la recherche ; </w:t>
      </w:r>
    </w:p>
    <w:p w:rsidR="000C2793" w:rsidRDefault="000C2793" w:rsidP="00EF43F4">
      <w:pPr>
        <w:pStyle w:val="Paragraphedeliste"/>
        <w:numPr>
          <w:ilvl w:val="0"/>
          <w:numId w:val="6"/>
        </w:numPr>
      </w:pPr>
      <w:proofErr w:type="gramStart"/>
      <w:r>
        <w:t>une</w:t>
      </w:r>
      <w:proofErr w:type="gramEnd"/>
      <w:r>
        <w:t xml:space="preserve"> note d'intention qui positionne la candidature par rapport au projet de recherche. </w:t>
      </w:r>
    </w:p>
    <w:p w:rsidR="000C2793" w:rsidRDefault="000C2793" w:rsidP="000C2793"/>
    <w:p w:rsidR="00EF43F4" w:rsidRPr="000C2793" w:rsidRDefault="000C2793" w:rsidP="000C2793">
      <w:r>
        <w:t>Une audition pourra avoir lieu avant le 14 juillet et une réponse sera donnée avant cette date.</w:t>
      </w:r>
      <w:r w:rsidR="00EF43F4">
        <w:t xml:space="preserve"> </w:t>
      </w:r>
    </w:p>
    <w:sectPr w:rsidR="00EF43F4" w:rsidRPr="000C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376"/>
    <w:multiLevelType w:val="hybridMultilevel"/>
    <w:tmpl w:val="4334A336"/>
    <w:lvl w:ilvl="0" w:tplc="C16CE168">
      <w:start w:val="1"/>
      <w:numFmt w:val="decimal"/>
      <w:lvlText w:val="%1."/>
      <w:lvlJc w:val="left"/>
      <w:pPr>
        <w:ind w:left="368" w:hanging="267"/>
      </w:pPr>
      <w:rPr>
        <w:rFonts w:ascii="Gill Sans MT" w:eastAsia="Gill Sans MT" w:hAnsi="Gill Sans MT" w:cs="Gill Sans MT" w:hint="default"/>
        <w:b/>
        <w:bCs/>
        <w:color w:val="ED7D31"/>
        <w:w w:val="103"/>
        <w:sz w:val="24"/>
        <w:szCs w:val="24"/>
      </w:rPr>
    </w:lvl>
    <w:lvl w:ilvl="1" w:tplc="FB3A6514">
      <w:numFmt w:val="bullet"/>
      <w:lvlText w:val="-"/>
      <w:lvlJc w:val="left"/>
      <w:pPr>
        <w:ind w:left="821" w:hanging="360"/>
      </w:pPr>
      <w:rPr>
        <w:rFonts w:ascii="Calibri" w:eastAsia="Calibri" w:hAnsi="Calibri" w:cs="Calibri" w:hint="default"/>
        <w:w w:val="100"/>
        <w:sz w:val="20"/>
        <w:szCs w:val="20"/>
      </w:rPr>
    </w:lvl>
    <w:lvl w:ilvl="2" w:tplc="2CFE79BC">
      <w:numFmt w:val="bullet"/>
      <w:lvlText w:val="•"/>
      <w:lvlJc w:val="left"/>
      <w:pPr>
        <w:ind w:left="1778" w:hanging="360"/>
      </w:pPr>
      <w:rPr>
        <w:rFonts w:hint="default"/>
      </w:rPr>
    </w:lvl>
    <w:lvl w:ilvl="3" w:tplc="AD4CF17C">
      <w:numFmt w:val="bullet"/>
      <w:lvlText w:val="•"/>
      <w:lvlJc w:val="left"/>
      <w:pPr>
        <w:ind w:left="2736" w:hanging="360"/>
      </w:pPr>
      <w:rPr>
        <w:rFonts w:hint="default"/>
      </w:rPr>
    </w:lvl>
    <w:lvl w:ilvl="4" w:tplc="ED28CCF6">
      <w:numFmt w:val="bullet"/>
      <w:lvlText w:val="•"/>
      <w:lvlJc w:val="left"/>
      <w:pPr>
        <w:ind w:left="3695" w:hanging="360"/>
      </w:pPr>
      <w:rPr>
        <w:rFonts w:hint="default"/>
      </w:rPr>
    </w:lvl>
    <w:lvl w:ilvl="5" w:tplc="8318C2A8">
      <w:numFmt w:val="bullet"/>
      <w:lvlText w:val="•"/>
      <w:lvlJc w:val="left"/>
      <w:pPr>
        <w:ind w:left="4653" w:hanging="360"/>
      </w:pPr>
      <w:rPr>
        <w:rFonts w:hint="default"/>
      </w:rPr>
    </w:lvl>
    <w:lvl w:ilvl="6" w:tplc="61206654">
      <w:numFmt w:val="bullet"/>
      <w:lvlText w:val="•"/>
      <w:lvlJc w:val="left"/>
      <w:pPr>
        <w:ind w:left="5611" w:hanging="360"/>
      </w:pPr>
      <w:rPr>
        <w:rFonts w:hint="default"/>
      </w:rPr>
    </w:lvl>
    <w:lvl w:ilvl="7" w:tplc="29B8CBB8">
      <w:numFmt w:val="bullet"/>
      <w:lvlText w:val="•"/>
      <w:lvlJc w:val="left"/>
      <w:pPr>
        <w:ind w:left="6570" w:hanging="360"/>
      </w:pPr>
      <w:rPr>
        <w:rFonts w:hint="default"/>
      </w:rPr>
    </w:lvl>
    <w:lvl w:ilvl="8" w:tplc="D3ECAEB6">
      <w:numFmt w:val="bullet"/>
      <w:lvlText w:val="•"/>
      <w:lvlJc w:val="left"/>
      <w:pPr>
        <w:ind w:left="7528" w:hanging="360"/>
      </w:pPr>
      <w:rPr>
        <w:rFonts w:hint="default"/>
      </w:rPr>
    </w:lvl>
  </w:abstractNum>
  <w:abstractNum w:abstractNumId="1" w15:restartNumberingAfterBreak="0">
    <w:nsid w:val="1D394DF9"/>
    <w:multiLevelType w:val="hybridMultilevel"/>
    <w:tmpl w:val="32D0AFF0"/>
    <w:lvl w:ilvl="0" w:tplc="98C4216E">
      <w:start w:val="1"/>
      <w:numFmt w:val="decimal"/>
      <w:lvlText w:val="%1."/>
      <w:lvlJc w:val="left"/>
      <w:pPr>
        <w:ind w:left="368" w:hanging="267"/>
      </w:pPr>
      <w:rPr>
        <w:rFonts w:ascii="Gill Sans MT" w:eastAsia="Gill Sans MT" w:hAnsi="Gill Sans MT" w:cs="Gill Sans MT" w:hint="default"/>
        <w:b/>
        <w:bCs/>
        <w:color w:val="ED7D31"/>
        <w:w w:val="103"/>
        <w:sz w:val="24"/>
        <w:szCs w:val="24"/>
      </w:rPr>
    </w:lvl>
    <w:lvl w:ilvl="1" w:tplc="FB3A6514">
      <w:numFmt w:val="bullet"/>
      <w:lvlText w:val="-"/>
      <w:lvlJc w:val="left"/>
      <w:pPr>
        <w:ind w:left="821" w:hanging="360"/>
      </w:pPr>
      <w:rPr>
        <w:rFonts w:ascii="Calibri" w:eastAsia="Calibri" w:hAnsi="Calibri" w:cs="Calibri" w:hint="default"/>
        <w:w w:val="100"/>
        <w:sz w:val="20"/>
        <w:szCs w:val="20"/>
      </w:rPr>
    </w:lvl>
    <w:lvl w:ilvl="2" w:tplc="2CFE79BC">
      <w:numFmt w:val="bullet"/>
      <w:lvlText w:val="•"/>
      <w:lvlJc w:val="left"/>
      <w:pPr>
        <w:ind w:left="1778" w:hanging="360"/>
      </w:pPr>
      <w:rPr>
        <w:rFonts w:hint="default"/>
      </w:rPr>
    </w:lvl>
    <w:lvl w:ilvl="3" w:tplc="AD4CF17C">
      <w:numFmt w:val="bullet"/>
      <w:lvlText w:val="•"/>
      <w:lvlJc w:val="left"/>
      <w:pPr>
        <w:ind w:left="2736" w:hanging="360"/>
      </w:pPr>
      <w:rPr>
        <w:rFonts w:hint="default"/>
      </w:rPr>
    </w:lvl>
    <w:lvl w:ilvl="4" w:tplc="ED28CCF6">
      <w:numFmt w:val="bullet"/>
      <w:lvlText w:val="•"/>
      <w:lvlJc w:val="left"/>
      <w:pPr>
        <w:ind w:left="3695" w:hanging="360"/>
      </w:pPr>
      <w:rPr>
        <w:rFonts w:hint="default"/>
      </w:rPr>
    </w:lvl>
    <w:lvl w:ilvl="5" w:tplc="8318C2A8">
      <w:numFmt w:val="bullet"/>
      <w:lvlText w:val="•"/>
      <w:lvlJc w:val="left"/>
      <w:pPr>
        <w:ind w:left="4653" w:hanging="360"/>
      </w:pPr>
      <w:rPr>
        <w:rFonts w:hint="default"/>
      </w:rPr>
    </w:lvl>
    <w:lvl w:ilvl="6" w:tplc="61206654">
      <w:numFmt w:val="bullet"/>
      <w:lvlText w:val="•"/>
      <w:lvlJc w:val="left"/>
      <w:pPr>
        <w:ind w:left="5611" w:hanging="360"/>
      </w:pPr>
      <w:rPr>
        <w:rFonts w:hint="default"/>
      </w:rPr>
    </w:lvl>
    <w:lvl w:ilvl="7" w:tplc="29B8CBB8">
      <w:numFmt w:val="bullet"/>
      <w:lvlText w:val="•"/>
      <w:lvlJc w:val="left"/>
      <w:pPr>
        <w:ind w:left="6570" w:hanging="360"/>
      </w:pPr>
      <w:rPr>
        <w:rFonts w:hint="default"/>
      </w:rPr>
    </w:lvl>
    <w:lvl w:ilvl="8" w:tplc="D3ECAEB6">
      <w:numFmt w:val="bullet"/>
      <w:lvlText w:val="•"/>
      <w:lvlJc w:val="left"/>
      <w:pPr>
        <w:ind w:left="7528" w:hanging="360"/>
      </w:pPr>
      <w:rPr>
        <w:rFonts w:hint="default"/>
      </w:rPr>
    </w:lvl>
  </w:abstractNum>
  <w:abstractNum w:abstractNumId="2" w15:restartNumberingAfterBreak="0">
    <w:nsid w:val="207F6966"/>
    <w:multiLevelType w:val="hybridMultilevel"/>
    <w:tmpl w:val="7B14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A63F9"/>
    <w:multiLevelType w:val="hybridMultilevel"/>
    <w:tmpl w:val="408227C2"/>
    <w:lvl w:ilvl="0" w:tplc="A9B0788E">
      <w:numFmt w:val="bullet"/>
      <w:lvlText w:val="-"/>
      <w:lvlJc w:val="left"/>
      <w:pPr>
        <w:ind w:left="205" w:hanging="105"/>
      </w:pPr>
      <w:rPr>
        <w:rFonts w:ascii="Gill Sans MT" w:eastAsia="Gill Sans MT" w:hAnsi="Gill Sans MT" w:cs="Gill Sans MT" w:hint="default"/>
        <w:w w:val="86"/>
        <w:sz w:val="20"/>
        <w:szCs w:val="20"/>
      </w:rPr>
    </w:lvl>
    <w:lvl w:ilvl="1" w:tplc="82AC9BE0">
      <w:numFmt w:val="bullet"/>
      <w:lvlText w:val="•"/>
      <w:lvlJc w:val="left"/>
      <w:pPr>
        <w:ind w:left="1124" w:hanging="105"/>
      </w:pPr>
      <w:rPr>
        <w:rFonts w:hint="default"/>
      </w:rPr>
    </w:lvl>
    <w:lvl w:ilvl="2" w:tplc="7C1804D6">
      <w:numFmt w:val="bullet"/>
      <w:lvlText w:val="•"/>
      <w:lvlJc w:val="left"/>
      <w:pPr>
        <w:ind w:left="2049" w:hanging="105"/>
      </w:pPr>
      <w:rPr>
        <w:rFonts w:hint="default"/>
      </w:rPr>
    </w:lvl>
    <w:lvl w:ilvl="3" w:tplc="BD7E4136">
      <w:numFmt w:val="bullet"/>
      <w:lvlText w:val="•"/>
      <w:lvlJc w:val="left"/>
      <w:pPr>
        <w:ind w:left="2973" w:hanging="105"/>
      </w:pPr>
      <w:rPr>
        <w:rFonts w:hint="default"/>
      </w:rPr>
    </w:lvl>
    <w:lvl w:ilvl="4" w:tplc="1DCC949C">
      <w:numFmt w:val="bullet"/>
      <w:lvlText w:val="•"/>
      <w:lvlJc w:val="left"/>
      <w:pPr>
        <w:ind w:left="3898" w:hanging="105"/>
      </w:pPr>
      <w:rPr>
        <w:rFonts w:hint="default"/>
      </w:rPr>
    </w:lvl>
    <w:lvl w:ilvl="5" w:tplc="AA8062A6">
      <w:numFmt w:val="bullet"/>
      <w:lvlText w:val="•"/>
      <w:lvlJc w:val="left"/>
      <w:pPr>
        <w:ind w:left="4822" w:hanging="105"/>
      </w:pPr>
      <w:rPr>
        <w:rFonts w:hint="default"/>
      </w:rPr>
    </w:lvl>
    <w:lvl w:ilvl="6" w:tplc="E864D8AA">
      <w:numFmt w:val="bullet"/>
      <w:lvlText w:val="•"/>
      <w:lvlJc w:val="left"/>
      <w:pPr>
        <w:ind w:left="5747" w:hanging="105"/>
      </w:pPr>
      <w:rPr>
        <w:rFonts w:hint="default"/>
      </w:rPr>
    </w:lvl>
    <w:lvl w:ilvl="7" w:tplc="7562900C">
      <w:numFmt w:val="bullet"/>
      <w:lvlText w:val="•"/>
      <w:lvlJc w:val="left"/>
      <w:pPr>
        <w:ind w:left="6671" w:hanging="105"/>
      </w:pPr>
      <w:rPr>
        <w:rFonts w:hint="default"/>
      </w:rPr>
    </w:lvl>
    <w:lvl w:ilvl="8" w:tplc="A94400F6">
      <w:numFmt w:val="bullet"/>
      <w:lvlText w:val="•"/>
      <w:lvlJc w:val="left"/>
      <w:pPr>
        <w:ind w:left="7596" w:hanging="105"/>
      </w:pPr>
      <w:rPr>
        <w:rFonts w:hint="default"/>
      </w:rPr>
    </w:lvl>
  </w:abstractNum>
  <w:abstractNum w:abstractNumId="4" w15:restartNumberingAfterBreak="0">
    <w:nsid w:val="358C0B0B"/>
    <w:multiLevelType w:val="hybridMultilevel"/>
    <w:tmpl w:val="DDBE6512"/>
    <w:lvl w:ilvl="0" w:tplc="98C4216E">
      <w:start w:val="1"/>
      <w:numFmt w:val="decimal"/>
      <w:lvlText w:val="%1."/>
      <w:lvlJc w:val="left"/>
      <w:pPr>
        <w:ind w:left="368" w:hanging="267"/>
      </w:pPr>
      <w:rPr>
        <w:rFonts w:ascii="Gill Sans MT" w:eastAsia="Gill Sans MT" w:hAnsi="Gill Sans MT" w:cs="Gill Sans MT" w:hint="default"/>
        <w:b/>
        <w:bCs/>
        <w:color w:val="ED7D31"/>
        <w:w w:val="103"/>
        <w:sz w:val="24"/>
        <w:szCs w:val="24"/>
      </w:rPr>
    </w:lvl>
    <w:lvl w:ilvl="1" w:tplc="FB3A6514">
      <w:numFmt w:val="bullet"/>
      <w:lvlText w:val="-"/>
      <w:lvlJc w:val="left"/>
      <w:pPr>
        <w:ind w:left="821" w:hanging="360"/>
      </w:pPr>
      <w:rPr>
        <w:rFonts w:ascii="Calibri" w:eastAsia="Calibri" w:hAnsi="Calibri" w:cs="Calibri" w:hint="default"/>
        <w:w w:val="100"/>
        <w:sz w:val="20"/>
        <w:szCs w:val="20"/>
      </w:rPr>
    </w:lvl>
    <w:lvl w:ilvl="2" w:tplc="2CFE79BC">
      <w:numFmt w:val="bullet"/>
      <w:lvlText w:val="•"/>
      <w:lvlJc w:val="left"/>
      <w:pPr>
        <w:ind w:left="1778" w:hanging="360"/>
      </w:pPr>
      <w:rPr>
        <w:rFonts w:hint="default"/>
      </w:rPr>
    </w:lvl>
    <w:lvl w:ilvl="3" w:tplc="AD4CF17C">
      <w:numFmt w:val="bullet"/>
      <w:lvlText w:val="•"/>
      <w:lvlJc w:val="left"/>
      <w:pPr>
        <w:ind w:left="2736" w:hanging="360"/>
      </w:pPr>
      <w:rPr>
        <w:rFonts w:hint="default"/>
      </w:rPr>
    </w:lvl>
    <w:lvl w:ilvl="4" w:tplc="ED28CCF6">
      <w:numFmt w:val="bullet"/>
      <w:lvlText w:val="•"/>
      <w:lvlJc w:val="left"/>
      <w:pPr>
        <w:ind w:left="3695" w:hanging="360"/>
      </w:pPr>
      <w:rPr>
        <w:rFonts w:hint="default"/>
      </w:rPr>
    </w:lvl>
    <w:lvl w:ilvl="5" w:tplc="8318C2A8">
      <w:numFmt w:val="bullet"/>
      <w:lvlText w:val="•"/>
      <w:lvlJc w:val="left"/>
      <w:pPr>
        <w:ind w:left="4653" w:hanging="360"/>
      </w:pPr>
      <w:rPr>
        <w:rFonts w:hint="default"/>
      </w:rPr>
    </w:lvl>
    <w:lvl w:ilvl="6" w:tplc="61206654">
      <w:numFmt w:val="bullet"/>
      <w:lvlText w:val="•"/>
      <w:lvlJc w:val="left"/>
      <w:pPr>
        <w:ind w:left="5611" w:hanging="360"/>
      </w:pPr>
      <w:rPr>
        <w:rFonts w:hint="default"/>
      </w:rPr>
    </w:lvl>
    <w:lvl w:ilvl="7" w:tplc="29B8CBB8">
      <w:numFmt w:val="bullet"/>
      <w:lvlText w:val="•"/>
      <w:lvlJc w:val="left"/>
      <w:pPr>
        <w:ind w:left="6570" w:hanging="360"/>
      </w:pPr>
      <w:rPr>
        <w:rFonts w:hint="default"/>
      </w:rPr>
    </w:lvl>
    <w:lvl w:ilvl="8" w:tplc="D3ECAEB6">
      <w:numFmt w:val="bullet"/>
      <w:lvlText w:val="•"/>
      <w:lvlJc w:val="left"/>
      <w:pPr>
        <w:ind w:left="7528" w:hanging="360"/>
      </w:pPr>
      <w:rPr>
        <w:rFonts w:hint="default"/>
      </w:rPr>
    </w:lvl>
  </w:abstractNum>
  <w:abstractNum w:abstractNumId="5" w15:restartNumberingAfterBreak="0">
    <w:nsid w:val="43C106F6"/>
    <w:multiLevelType w:val="hybridMultilevel"/>
    <w:tmpl w:val="6290873E"/>
    <w:lvl w:ilvl="0" w:tplc="B89A9444">
      <w:numFmt w:val="bullet"/>
      <w:lvlText w:val="-"/>
      <w:lvlJc w:val="left"/>
      <w:pPr>
        <w:ind w:left="821" w:hanging="360"/>
      </w:pPr>
      <w:rPr>
        <w:rFonts w:ascii="Calibri" w:eastAsia="Calibri" w:hAnsi="Calibri" w:cs="Calibri" w:hint="default"/>
        <w:w w:val="100"/>
        <w:sz w:val="20"/>
        <w:szCs w:val="20"/>
      </w:rPr>
    </w:lvl>
    <w:lvl w:ilvl="1" w:tplc="76A05976">
      <w:numFmt w:val="bullet"/>
      <w:lvlText w:val="•"/>
      <w:lvlJc w:val="left"/>
      <w:pPr>
        <w:ind w:left="1682" w:hanging="360"/>
      </w:pPr>
      <w:rPr>
        <w:rFonts w:hint="default"/>
      </w:rPr>
    </w:lvl>
    <w:lvl w:ilvl="2" w:tplc="5792D780">
      <w:numFmt w:val="bullet"/>
      <w:lvlText w:val="•"/>
      <w:lvlJc w:val="left"/>
      <w:pPr>
        <w:ind w:left="2545" w:hanging="360"/>
      </w:pPr>
      <w:rPr>
        <w:rFonts w:hint="default"/>
      </w:rPr>
    </w:lvl>
    <w:lvl w:ilvl="3" w:tplc="CA7C6DDE">
      <w:numFmt w:val="bullet"/>
      <w:lvlText w:val="•"/>
      <w:lvlJc w:val="left"/>
      <w:pPr>
        <w:ind w:left="3407" w:hanging="360"/>
      </w:pPr>
      <w:rPr>
        <w:rFonts w:hint="default"/>
      </w:rPr>
    </w:lvl>
    <w:lvl w:ilvl="4" w:tplc="730AA8C4">
      <w:numFmt w:val="bullet"/>
      <w:lvlText w:val="•"/>
      <w:lvlJc w:val="left"/>
      <w:pPr>
        <w:ind w:left="4270" w:hanging="360"/>
      </w:pPr>
      <w:rPr>
        <w:rFonts w:hint="default"/>
      </w:rPr>
    </w:lvl>
    <w:lvl w:ilvl="5" w:tplc="12DE1896">
      <w:numFmt w:val="bullet"/>
      <w:lvlText w:val="•"/>
      <w:lvlJc w:val="left"/>
      <w:pPr>
        <w:ind w:left="5132" w:hanging="360"/>
      </w:pPr>
      <w:rPr>
        <w:rFonts w:hint="default"/>
      </w:rPr>
    </w:lvl>
    <w:lvl w:ilvl="6" w:tplc="B6626842">
      <w:numFmt w:val="bullet"/>
      <w:lvlText w:val="•"/>
      <w:lvlJc w:val="left"/>
      <w:pPr>
        <w:ind w:left="5995" w:hanging="360"/>
      </w:pPr>
      <w:rPr>
        <w:rFonts w:hint="default"/>
      </w:rPr>
    </w:lvl>
    <w:lvl w:ilvl="7" w:tplc="2E0E5AF4">
      <w:numFmt w:val="bullet"/>
      <w:lvlText w:val="•"/>
      <w:lvlJc w:val="left"/>
      <w:pPr>
        <w:ind w:left="6857" w:hanging="360"/>
      </w:pPr>
      <w:rPr>
        <w:rFonts w:hint="default"/>
      </w:rPr>
    </w:lvl>
    <w:lvl w:ilvl="8" w:tplc="9F68DCDA">
      <w:numFmt w:val="bullet"/>
      <w:lvlText w:val="•"/>
      <w:lvlJc w:val="left"/>
      <w:pPr>
        <w:ind w:left="7720" w:hanging="36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11"/>
    <w:rsid w:val="00044664"/>
    <w:rsid w:val="000C2793"/>
    <w:rsid w:val="0011797E"/>
    <w:rsid w:val="002F30AE"/>
    <w:rsid w:val="0042662E"/>
    <w:rsid w:val="0052673A"/>
    <w:rsid w:val="006945DB"/>
    <w:rsid w:val="006A27CE"/>
    <w:rsid w:val="007D5351"/>
    <w:rsid w:val="00831A30"/>
    <w:rsid w:val="008445DA"/>
    <w:rsid w:val="009A1424"/>
    <w:rsid w:val="00A063D1"/>
    <w:rsid w:val="00B6704E"/>
    <w:rsid w:val="00BD6552"/>
    <w:rsid w:val="00C44896"/>
    <w:rsid w:val="00D152E5"/>
    <w:rsid w:val="00D36811"/>
    <w:rsid w:val="00DC018C"/>
    <w:rsid w:val="00DC5666"/>
    <w:rsid w:val="00EE0337"/>
    <w:rsid w:val="00EF43F4"/>
    <w:rsid w:val="00F253C1"/>
    <w:rsid w:val="00F71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040"/>
  <w15:chartTrackingRefBased/>
  <w15:docId w15:val="{2643099B-41FE-4F11-BF88-1A762CE9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C279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6811"/>
    <w:rPr>
      <w:color w:val="0563C1" w:themeColor="hyperlink"/>
      <w:u w:val="single"/>
    </w:rPr>
  </w:style>
  <w:style w:type="paragraph" w:styleId="Paragraphedeliste">
    <w:name w:val="List Paragraph"/>
    <w:basedOn w:val="Normal"/>
    <w:uiPriority w:val="34"/>
    <w:qFormat/>
    <w:rsid w:val="00D36811"/>
    <w:pPr>
      <w:ind w:left="720"/>
      <w:contextualSpacing/>
    </w:pPr>
  </w:style>
  <w:style w:type="paragraph" w:styleId="Textedebulles">
    <w:name w:val="Balloon Text"/>
    <w:basedOn w:val="Normal"/>
    <w:link w:val="TextedebullesCar"/>
    <w:uiPriority w:val="99"/>
    <w:semiHidden/>
    <w:unhideWhenUsed/>
    <w:rsid w:val="00DC01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18C"/>
    <w:rPr>
      <w:rFonts w:ascii="Segoe UI" w:hAnsi="Segoe UI" w:cs="Segoe UI"/>
      <w:sz w:val="18"/>
      <w:szCs w:val="18"/>
    </w:rPr>
  </w:style>
  <w:style w:type="character" w:styleId="Lienhypertextesuivivisit">
    <w:name w:val="FollowedHyperlink"/>
    <w:basedOn w:val="Policepardfaut"/>
    <w:uiPriority w:val="99"/>
    <w:semiHidden/>
    <w:unhideWhenUsed/>
    <w:rsid w:val="00BD6552"/>
    <w:rPr>
      <w:color w:val="954F72" w:themeColor="followedHyperlink"/>
      <w:u w:val="single"/>
    </w:rPr>
  </w:style>
  <w:style w:type="character" w:customStyle="1" w:styleId="Titre3Car">
    <w:name w:val="Titre 3 Car"/>
    <w:basedOn w:val="Policepardfaut"/>
    <w:link w:val="Titre3"/>
    <w:uiPriority w:val="9"/>
    <w:rsid w:val="000C279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C2793"/>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205">
      <w:bodyDiv w:val="1"/>
      <w:marLeft w:val="0"/>
      <w:marRight w:val="0"/>
      <w:marTop w:val="0"/>
      <w:marBottom w:val="0"/>
      <w:divBdr>
        <w:top w:val="none" w:sz="0" w:space="0" w:color="auto"/>
        <w:left w:val="none" w:sz="0" w:space="0" w:color="auto"/>
        <w:bottom w:val="none" w:sz="0" w:space="0" w:color="auto"/>
        <w:right w:val="none" w:sz="0" w:space="0" w:color="auto"/>
      </w:divBdr>
      <w:divsChild>
        <w:div w:id="772211586">
          <w:marLeft w:val="0"/>
          <w:marRight w:val="0"/>
          <w:marTop w:val="0"/>
          <w:marBottom w:val="0"/>
          <w:divBdr>
            <w:top w:val="none" w:sz="0" w:space="0" w:color="auto"/>
            <w:left w:val="none" w:sz="0" w:space="0" w:color="auto"/>
            <w:bottom w:val="none" w:sz="0" w:space="0" w:color="auto"/>
            <w:right w:val="none" w:sz="0" w:space="0" w:color="auto"/>
          </w:divBdr>
          <w:divsChild>
            <w:div w:id="15433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5860">
      <w:bodyDiv w:val="1"/>
      <w:marLeft w:val="0"/>
      <w:marRight w:val="0"/>
      <w:marTop w:val="0"/>
      <w:marBottom w:val="0"/>
      <w:divBdr>
        <w:top w:val="none" w:sz="0" w:space="0" w:color="auto"/>
        <w:left w:val="none" w:sz="0" w:space="0" w:color="auto"/>
        <w:bottom w:val="none" w:sz="0" w:space="0" w:color="auto"/>
        <w:right w:val="none" w:sz="0" w:space="0" w:color="auto"/>
      </w:divBdr>
    </w:div>
    <w:div w:id="1842818945">
      <w:bodyDiv w:val="1"/>
      <w:marLeft w:val="0"/>
      <w:marRight w:val="0"/>
      <w:marTop w:val="0"/>
      <w:marBottom w:val="0"/>
      <w:divBdr>
        <w:top w:val="none" w:sz="0" w:space="0" w:color="auto"/>
        <w:left w:val="none" w:sz="0" w:space="0" w:color="auto"/>
        <w:bottom w:val="none" w:sz="0" w:space="0" w:color="auto"/>
        <w:right w:val="none" w:sz="0" w:space="0" w:color="auto"/>
      </w:divBdr>
    </w:div>
    <w:div w:id="19667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go.topalov@bellast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lortie@paris-belleville.archi.fr" TargetMode="External"/><Relationship Id="rId5" Type="http://schemas.openxmlformats.org/officeDocument/2006/relationships/hyperlink" Target="mailto:hugo.topalov@bellastoc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cp:lastPrinted>2024-06-05T13:06:00Z</cp:lastPrinted>
  <dcterms:created xsi:type="dcterms:W3CDTF">2024-06-05T13:06:00Z</dcterms:created>
  <dcterms:modified xsi:type="dcterms:W3CDTF">2024-06-05T13:09:00Z</dcterms:modified>
</cp:coreProperties>
</file>